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5A" w:rsidRPr="005C12D9" w:rsidRDefault="00C5555A" w:rsidP="00C5555A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</w:pPr>
      <w:r w:rsidRPr="005C12D9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>Giriş</w:t>
      </w:r>
    </w:p>
    <w:p w:rsidR="00C5555A" w:rsidRPr="005C12D9" w:rsidRDefault="00C5555A" w:rsidP="00C5555A">
      <w:p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5C12D9">
        <w:rPr>
          <w:rFonts w:ascii="Comic Sans MS" w:eastAsia="Times New Roman" w:hAnsi="Comic Sans MS" w:cs="Times New Roman"/>
          <w:sz w:val="24"/>
          <w:szCs w:val="24"/>
          <w:lang w:eastAsia="tr-TR"/>
        </w:rPr>
        <w:t>ÖZPEKLER olarak, çevresel sürdürülebilirliği sağlamak ve çevre üzerindeki olumsuz etkile</w:t>
      </w:r>
      <w:r w:rsidR="006F1D06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rimizi minimize etmek amacıyla çevre </w:t>
      </w:r>
      <w:r w:rsidRPr="005C12D9">
        <w:rPr>
          <w:rFonts w:ascii="Comic Sans MS" w:eastAsia="Times New Roman" w:hAnsi="Comic Sans MS" w:cs="Times New Roman"/>
          <w:sz w:val="24"/>
          <w:szCs w:val="24"/>
          <w:lang w:eastAsia="tr-TR"/>
        </w:rPr>
        <w:t>standartlarına uygun bir çevre politikası benimsemekteyiz. Bu politika, tüm operasyonlarımızda çevreye duyarlı uygulamaları teşvik etmeyi ve çevresel sorumluluklarımızı yerine getirmeyi hedeflemektedir.</w:t>
      </w:r>
      <w:bookmarkStart w:id="0" w:name="_GoBack"/>
      <w:bookmarkEnd w:id="0"/>
    </w:p>
    <w:tbl>
      <w:tblPr>
        <w:tblW w:w="899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F722F2" w:rsidRPr="005C12D9" w:rsidTr="00A73C75">
        <w:trPr>
          <w:trHeight w:val="8520"/>
        </w:trPr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F41" w:rsidRPr="005C12D9" w:rsidRDefault="00C5555A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A</w:t>
            </w:r>
            <w:r w:rsidR="00614F41"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maç</w:t>
            </w:r>
          </w:p>
          <w:p w:rsidR="00C5555A" w:rsidRPr="005C12D9" w:rsidRDefault="00614F41" w:rsidP="00C5555A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Bu politika, Özpekler Su Ürünleri firması olarak </w:t>
            </w:r>
            <w:r w:rsidR="00C5555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çevresel etkileri azaltmak, doğal kaynakları korumak, atık yönetimini iyileştirmek ve çevreye duyarlı iş süreçlerini teşvik etmektir.</w:t>
            </w:r>
          </w:p>
          <w:p w:rsidR="00614F41" w:rsidRPr="005C12D9" w:rsidRDefault="00C5555A" w:rsidP="00614F41">
            <w:p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Şirketimiz, Ç</w:t>
            </w:r>
            <w:r w:rsidR="00614F41" w:rsidRPr="005C12D9">
              <w:rPr>
                <w:rFonts w:ascii="Comic Sans MS" w:hAnsi="Comic Sans MS"/>
                <w:sz w:val="24"/>
                <w:szCs w:val="24"/>
              </w:rPr>
              <w:t xml:space="preserve">evrenin korunması ve </w:t>
            </w:r>
            <w:r w:rsidRPr="005C12D9">
              <w:rPr>
                <w:rFonts w:ascii="Comic Sans MS" w:hAnsi="Comic Sans MS"/>
                <w:sz w:val="24"/>
                <w:szCs w:val="24"/>
              </w:rPr>
              <w:t>B</w:t>
            </w:r>
            <w:r w:rsidR="00614F41" w:rsidRPr="005C12D9">
              <w:rPr>
                <w:rFonts w:ascii="Comic Sans MS" w:hAnsi="Comic Sans MS"/>
                <w:sz w:val="24"/>
                <w:szCs w:val="24"/>
              </w:rPr>
              <w:t>iyolojik çeşitliliğin sürdürülebilirliği konusunda sorumluluk sahibi bir oyuncu olmak için çalışmaktadır.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Kapsam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Bu politika, Özpekler Su </w:t>
            </w:r>
            <w:proofErr w:type="gramStart"/>
            <w:r w:rsidRPr="005C12D9">
              <w:rPr>
                <w:rFonts w:ascii="Comic Sans MS" w:hAnsi="Comic Sans MS"/>
                <w:sz w:val="24"/>
                <w:szCs w:val="24"/>
              </w:rPr>
              <w:t>Ürünleri  tüm</w:t>
            </w:r>
            <w:proofErr w:type="gramEnd"/>
            <w:r w:rsidRPr="005C12D9">
              <w:rPr>
                <w:rFonts w:ascii="Comic Sans MS" w:hAnsi="Comic Sans MS"/>
                <w:sz w:val="24"/>
                <w:szCs w:val="24"/>
              </w:rPr>
              <w:t xml:space="preserve"> faaliyetlerini kapsamaktadır. </w:t>
            </w:r>
            <w:r w:rsidR="005C12D9">
              <w:rPr>
                <w:rFonts w:ascii="Comic Sans MS" w:hAnsi="Comic Sans MS"/>
                <w:sz w:val="24"/>
                <w:szCs w:val="24"/>
              </w:rPr>
              <w:t>Üretim, T</w:t>
            </w:r>
            <w:r w:rsidRPr="005C12D9">
              <w:rPr>
                <w:rFonts w:ascii="Comic Sans MS" w:hAnsi="Comic Sans MS"/>
                <w:sz w:val="24"/>
                <w:szCs w:val="24"/>
              </w:rPr>
              <w:t xml:space="preserve">edarik zinciri, </w:t>
            </w:r>
            <w:r w:rsidR="005C12D9">
              <w:rPr>
                <w:rFonts w:ascii="Comic Sans MS" w:hAnsi="Comic Sans MS"/>
                <w:sz w:val="24"/>
                <w:szCs w:val="24"/>
              </w:rPr>
              <w:t>Satış ve P</w:t>
            </w:r>
            <w:r w:rsidRPr="005C12D9">
              <w:rPr>
                <w:rFonts w:ascii="Comic Sans MS" w:hAnsi="Comic Sans MS"/>
                <w:sz w:val="24"/>
                <w:szCs w:val="24"/>
              </w:rPr>
              <w:t>azarlama faaliyetlerini içerir.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Temel İlkeler</w:t>
            </w:r>
          </w:p>
          <w:p w:rsidR="00A73C75" w:rsidRPr="005C12D9" w:rsidRDefault="00A73C75" w:rsidP="00A73C75">
            <w:pPr>
              <w:spacing w:before="100" w:beforeAutospacing="1" w:after="100" w:afterAutospacing="1"/>
              <w:outlineLvl w:val="4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  <w:t>Yasal Uyum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Çevresel mevzuat ve düzenlemelere tam uyum sağlamak.</w:t>
            </w:r>
            <w:proofErr w:type="gramEnd"/>
          </w:p>
          <w:p w:rsidR="00A73C75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Yerel, ulusal ve uluslararası çevre yasalarına uygun olarak faaliyet göstermek.</w:t>
            </w:r>
            <w:proofErr w:type="gramEnd"/>
          </w:p>
          <w:p w:rsidR="005D26C8" w:rsidRDefault="005D26C8" w:rsidP="005D26C8">
            <w:pPr>
              <w:spacing w:before="100" w:beforeAutospacing="1" w:after="100" w:afterAutospacing="1" w:line="240" w:lineRule="auto"/>
              <w:ind w:left="72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</w:p>
          <w:p w:rsidR="005D26C8" w:rsidRPr="005C12D9" w:rsidRDefault="005D26C8" w:rsidP="005D26C8">
            <w:pPr>
              <w:spacing w:before="100" w:beforeAutospacing="1" w:after="100" w:afterAutospacing="1" w:line="240" w:lineRule="auto"/>
              <w:ind w:left="72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</w:p>
          <w:p w:rsidR="00A73C75" w:rsidRPr="005C12D9" w:rsidRDefault="00A73C75" w:rsidP="00A73C75">
            <w:pPr>
              <w:spacing w:before="100" w:beforeAutospacing="1" w:after="100" w:afterAutospacing="1"/>
              <w:outlineLvl w:val="4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  <w:lastRenderedPageBreak/>
              <w:t>Doğal Kaynakların Korunması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Enerji ve su tüketimini minimize etmek için verimli kullanım stratejileri geliştirmek.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Yenilenebilir enerji kaynaklarının kullanımını artırmak.</w:t>
            </w:r>
          </w:p>
          <w:p w:rsidR="00A73C75" w:rsidRPr="0053699C" w:rsidRDefault="00A73C75" w:rsidP="00A73C75">
            <w:pPr>
              <w:spacing w:before="100" w:beforeAutospacing="1" w:after="100" w:afterAutospacing="1"/>
              <w:outlineLvl w:val="4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53699C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  <w:lang w:eastAsia="tr-TR"/>
              </w:rPr>
              <w:t>Atık Yönetimi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Atık üretimini minimize etmek için önleyici tedbirler almak.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Atıkların geri dönüştürülmesi ve yeniden kullanımı için gerekli altyapıyı sağlamak.</w:t>
            </w:r>
          </w:p>
          <w:p w:rsidR="00A73C75" w:rsidRPr="005C12D9" w:rsidRDefault="00A73C75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Tehlikeli atıkların uygun şekilde yönetilmesini sağlamak.</w:t>
            </w:r>
            <w:proofErr w:type="gramEnd"/>
          </w:p>
          <w:p w:rsidR="00614F41" w:rsidRPr="0053699C" w:rsidRDefault="00614F41" w:rsidP="00A73C75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lang w:eastAsia="tr-TR"/>
              </w:rPr>
            </w:pPr>
            <w:r w:rsidRPr="0053699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Sorumluluklar</w:t>
            </w:r>
          </w:p>
          <w:p w:rsidR="00614F41" w:rsidRPr="005C12D9" w:rsidRDefault="0053699C" w:rsidP="00614F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Şirketimiz, Çevre ve B</w:t>
            </w:r>
            <w:r w:rsidR="00614F41" w:rsidRPr="005C12D9">
              <w:rPr>
                <w:rFonts w:ascii="Comic Sans MS" w:hAnsi="Comic Sans MS"/>
                <w:sz w:val="24"/>
                <w:szCs w:val="24"/>
              </w:rPr>
              <w:t>iyolojik çeşitlilik ile ilgili tüm risk ve fırsatları belirleme ve yönetme sorumluluğunu üstlenmektedir. Bu sorumluluk, aşağıdakilerin yanı sıra, tedarik zincirindeki tüm taraflarla birlikte çalışmayı da içerir:</w:t>
            </w:r>
          </w:p>
          <w:p w:rsidR="00A73C75" w:rsidRPr="005C12D9" w:rsidRDefault="00EB440A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3699C">
              <w:rPr>
                <w:rFonts w:ascii="Comic Sans MS" w:hAnsi="Comic Sans MS"/>
                <w:b/>
                <w:sz w:val="24"/>
                <w:szCs w:val="24"/>
              </w:rPr>
              <w:t>Üst Y</w:t>
            </w:r>
            <w:r w:rsidR="00614F41" w:rsidRPr="0053699C">
              <w:rPr>
                <w:rFonts w:ascii="Comic Sans MS" w:hAnsi="Comic Sans MS"/>
                <w:b/>
                <w:sz w:val="24"/>
                <w:szCs w:val="24"/>
              </w:rPr>
              <w:t>önetim</w:t>
            </w:r>
            <w:r w:rsidR="00A73C75" w:rsidRPr="0053699C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 w:rsidR="00A73C75" w:rsidRPr="005C12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3C75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Çevre ve </w:t>
            </w:r>
            <w:proofErr w:type="spellStart"/>
            <w:r w:rsidR="00A73C75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Biyoçeşitlilik</w:t>
            </w:r>
            <w:proofErr w:type="spellEnd"/>
            <w:r w:rsidR="00A73C75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geliştirme politikasının uygulanmasını sağlamak ve çevresel hedeflere ulaşılması için kaynakları sağlamakla sorumludur.</w:t>
            </w:r>
          </w:p>
          <w:p w:rsidR="00EB440A" w:rsidRPr="005C12D9" w:rsidRDefault="00EB440A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  <w:t>Çevre Uzmanı:</w:t>
            </w: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Çevresel faaliyetleri izlemek, raporlamak ve sürekli iyileştirme çalışmalarını koordine etmekle sorumludur.</w:t>
            </w:r>
          </w:p>
          <w:p w:rsidR="00EB440A" w:rsidRPr="005C12D9" w:rsidRDefault="00614F41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3699C">
              <w:rPr>
                <w:rFonts w:ascii="Comic Sans MS" w:hAnsi="Comic Sans MS"/>
                <w:b/>
                <w:sz w:val="24"/>
                <w:szCs w:val="24"/>
              </w:rPr>
              <w:t>Çalışanlar</w:t>
            </w:r>
            <w:r w:rsidR="00EB440A" w:rsidRPr="0053699C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 w:rsidR="00EB440A" w:rsidRPr="005C12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 politikası doğrultusunda çalışmak ve çevresel sorumlulukları yerine getirmekle sorumludur.</w:t>
            </w:r>
          </w:p>
          <w:p w:rsidR="00EB440A" w:rsidRPr="005D26C8" w:rsidRDefault="00EB440A" w:rsidP="00EB44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gramStart"/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  <w:t>Tedarikçi ve Müşteri Yönetimi</w:t>
            </w: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</w:t>
            </w: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Tedarikçilerimizden ve iş ortaklarımızdan çevresel standartlara uymalarını beklemek.</w:t>
            </w: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Çevre dostu ürün ve hizmetleri tercih etmek.</w:t>
            </w:r>
            <w:proofErr w:type="gramEnd"/>
          </w:p>
          <w:p w:rsidR="005D26C8" w:rsidRDefault="005D26C8" w:rsidP="005D26C8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5D26C8" w:rsidRPr="005C12D9" w:rsidRDefault="005D26C8" w:rsidP="005D26C8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614F41" w:rsidRPr="0053699C" w:rsidRDefault="00614F41" w:rsidP="00EB440A">
            <w:pPr>
              <w:spacing w:before="100" w:beforeAutospacing="1" w:after="100" w:afterAutospacing="1" w:line="240" w:lineRule="auto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3699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Hedefler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Şirketimiz, aşağıdaki hedeflere ulaşmak için çalışmaktadır: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2025 yılına kadar sera gazı </w:t>
            </w:r>
            <w:proofErr w:type="gramStart"/>
            <w:r w:rsidRPr="005C12D9">
              <w:rPr>
                <w:rFonts w:ascii="Comic Sans MS" w:hAnsi="Comic Sans MS"/>
                <w:sz w:val="24"/>
                <w:szCs w:val="24"/>
              </w:rPr>
              <w:t>emisyonlarımızı</w:t>
            </w:r>
            <w:proofErr w:type="gramEnd"/>
            <w:r w:rsidRPr="005C12D9">
              <w:rPr>
                <w:rFonts w:ascii="Comic Sans MS" w:hAnsi="Comic Sans MS"/>
                <w:sz w:val="24"/>
                <w:szCs w:val="24"/>
              </w:rPr>
              <w:t xml:space="preserve"> %25 azaltacağız.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2030 yılına kadar yenilenebilir enerji kaynaklarından elde ettiğimiz enerjinin payını %50'ye çıkaracağız.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2050 yılına kadar karbon </w:t>
            </w:r>
            <w:proofErr w:type="gramStart"/>
            <w:r w:rsidRPr="005C12D9">
              <w:rPr>
                <w:rFonts w:ascii="Comic Sans MS" w:hAnsi="Comic Sans MS"/>
                <w:sz w:val="24"/>
                <w:szCs w:val="24"/>
              </w:rPr>
              <w:t>nötr</w:t>
            </w:r>
            <w:proofErr w:type="gramEnd"/>
            <w:r w:rsidRPr="005C12D9">
              <w:rPr>
                <w:rFonts w:ascii="Comic Sans MS" w:hAnsi="Comic Sans MS"/>
                <w:sz w:val="24"/>
                <w:szCs w:val="24"/>
              </w:rPr>
              <w:t xml:space="preserve"> olacağız.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2030 yılına kadar atık üretimimizi %50 azaltacağız.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2030 yılına kadar geri dönüştürülmüş veya yeniden kullanılabilir malzemelerin kullanımını %50'ye çıkaracağız.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2030 yılına kadar doğal kaynakların sürdürülebilir yönetimine katkıda bulunan tedarik zinciri ortaklıkları kuracağız.</w:t>
            </w:r>
          </w:p>
          <w:p w:rsidR="00614F41" w:rsidRPr="0053699C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3699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Uygulama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Şirketimiz, çevre ve biyolojik çeşitlilik ile ilgili politikalarını uygulamak için aşağıdaki adımları atacaktır: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Çevre ve biyolojik çeşitlilik ile ilgili risk ve fırsatları belirlemek için bir değerlendirme yapacağız.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Riskleri azaltmak ve fırsatları değerlendirmek için bir eylem planı geliştireceğiz.</w:t>
            </w:r>
          </w:p>
          <w:p w:rsidR="00614F41" w:rsidRPr="005C12D9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Eylem planını uygulamak için gerekli kaynakları tahsis edeceğiz.</w:t>
            </w:r>
          </w:p>
          <w:p w:rsidR="00614F41" w:rsidRDefault="00614F41" w:rsidP="00EB440A">
            <w:pPr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Eylem planının etkinliğini izlemek ve değerlendirmek için düzenli olarak raporlama yapacağız.</w:t>
            </w:r>
          </w:p>
          <w:p w:rsidR="005D26C8" w:rsidRDefault="005D26C8" w:rsidP="005D26C8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</w:p>
          <w:p w:rsidR="00614F41" w:rsidRPr="005C12D9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Eğitim</w:t>
            </w:r>
            <w:r w:rsidR="00EB440A"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ve Bilinçlendirme</w:t>
            </w:r>
          </w:p>
          <w:p w:rsidR="005C12D9" w:rsidRPr="005C12D9" w:rsidRDefault="00614F41" w:rsidP="00614F41">
            <w:pPr>
              <w:pStyle w:val="ListeParagraf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>Şirketimiz, çevre ve biyolojik çeşitlilik ile i</w:t>
            </w:r>
            <w:r w:rsidR="00EB440A" w:rsidRPr="005C12D9">
              <w:rPr>
                <w:rFonts w:ascii="Comic Sans MS" w:hAnsi="Comic Sans MS"/>
                <w:sz w:val="24"/>
                <w:szCs w:val="24"/>
              </w:rPr>
              <w:t>lgili politikaları ve sürdürülebilirlik konularında çalışanlara</w:t>
            </w:r>
            <w:r w:rsidRPr="005C12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B440A" w:rsidRPr="005C12D9">
              <w:rPr>
                <w:rFonts w:ascii="Comic Sans MS" w:hAnsi="Comic Sans MS"/>
                <w:sz w:val="24"/>
                <w:szCs w:val="24"/>
              </w:rPr>
              <w:t>düzenli eğitimler vermek.</w:t>
            </w:r>
            <w:r w:rsidR="00DC51FC" w:rsidRPr="005C12D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14F41" w:rsidRDefault="00DC51FC" w:rsidP="00614F41">
            <w:pPr>
              <w:pStyle w:val="ListeParagraf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C12D9">
              <w:rPr>
                <w:rFonts w:ascii="Comic Sans MS" w:hAnsi="Comic Sans MS"/>
                <w:sz w:val="24"/>
                <w:szCs w:val="24"/>
              </w:rPr>
              <w:t>Çevre ve Biyolojik çeşitlilik politikası ve uygu</w:t>
            </w:r>
            <w:r w:rsidR="005C12D9" w:rsidRPr="005C12D9">
              <w:rPr>
                <w:rFonts w:ascii="Comic Sans MS" w:hAnsi="Comic Sans MS"/>
                <w:sz w:val="24"/>
                <w:szCs w:val="24"/>
              </w:rPr>
              <w:t>lamaları hakkında çalışanları bilgilendirmek ve bilinçlendirmek</w:t>
            </w:r>
            <w:r w:rsidR="00614F41" w:rsidRPr="005C12D9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</w:p>
          <w:p w:rsidR="00EB440A" w:rsidRPr="005C12D9" w:rsidRDefault="00EB440A" w:rsidP="00EB440A">
            <w:pPr>
              <w:spacing w:before="100" w:beforeAutospacing="1" w:after="100" w:afterAutospacing="1"/>
              <w:outlineLvl w:val="3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  <w:t>İzleme ve Gözden Geçirme</w:t>
            </w:r>
          </w:p>
          <w:p w:rsidR="00EB440A" w:rsidRPr="005C12D9" w:rsidRDefault="00EB440A" w:rsidP="00EB440A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Bu politika, düzenli olarak gözden geçirilerek güncellenir. Çevresel performansımızın izlenmesi ve iyileştirilmesi için belirlenen hedeflere yönelik ilerleme raporlanır.</w:t>
            </w:r>
          </w:p>
          <w:p w:rsidR="00614F41" w:rsidRPr="005C12D9" w:rsidRDefault="00614F41" w:rsidP="00614F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C12D9">
              <w:rPr>
                <w:rFonts w:ascii="Comic Sans MS" w:hAnsi="Comic Sans MS"/>
                <w:b/>
                <w:bCs/>
                <w:sz w:val="24"/>
                <w:szCs w:val="24"/>
              </w:rPr>
              <w:t>Sonuç</w:t>
            </w:r>
          </w:p>
          <w:p w:rsidR="00063A47" w:rsidRPr="005C12D9" w:rsidRDefault="00614F41" w:rsidP="005C12D9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5C12D9">
              <w:rPr>
                <w:rFonts w:ascii="Comic Sans MS" w:hAnsi="Comic Sans MS"/>
                <w:sz w:val="24"/>
                <w:szCs w:val="24"/>
              </w:rPr>
              <w:t xml:space="preserve">Şirketimiz, çevre ve biyolojik çeşitlilik ile ilgili </w:t>
            </w:r>
            <w:r w:rsidR="00EB440A" w:rsidRPr="005C12D9">
              <w:rPr>
                <w:rFonts w:ascii="Comic Sans MS" w:hAnsi="Comic Sans MS"/>
                <w:sz w:val="24"/>
                <w:szCs w:val="24"/>
              </w:rPr>
              <w:t>Ç</w:t>
            </w:r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evresel sürdürülebilirliği sağlamak ve Biyolojik çeşitlilik </w:t>
            </w:r>
            <w:proofErr w:type="gramStart"/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faaliyetlerini , çevreye</w:t>
            </w:r>
            <w:proofErr w:type="gramEnd"/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olan etkilerimizi minimize etmek için bu çevre politikasını benimsemekteyiz. Çevresel sorumluluklarımızı yerine getirerek, gelecek </w:t>
            </w:r>
            <w:r w:rsidR="005D26C8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nesillere daha yaşanabilir bir D</w:t>
            </w:r>
            <w:r w:rsidR="00EB440A" w:rsidRPr="005C12D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ünya bırakmayı hedeflemekteyiz.</w:t>
            </w:r>
            <w:r w:rsidR="00063A47" w:rsidRPr="005C12D9">
              <w:rPr>
                <w:rFonts w:ascii="Comic Sans MS" w:hAnsi="Comic Sans MS" w:cs="Estrangelo Edessa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195E13" w:rsidRPr="005C12D9" w:rsidTr="00A73C75">
        <w:trPr>
          <w:trHeight w:val="419"/>
        </w:trPr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5C12D9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24"/>
                <w:szCs w:val="24"/>
                <w:lang w:eastAsia="tr-TR"/>
              </w:rPr>
            </w:pPr>
          </w:p>
        </w:tc>
      </w:tr>
    </w:tbl>
    <w:p w:rsidR="003846E5" w:rsidRPr="005C12D9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24"/>
          <w:szCs w:val="24"/>
        </w:rPr>
      </w:pPr>
    </w:p>
    <w:p w:rsidR="003846E5" w:rsidRPr="005C12D9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24"/>
          <w:szCs w:val="24"/>
        </w:rPr>
      </w:pPr>
    </w:p>
    <w:sectPr w:rsidR="003846E5" w:rsidRPr="005C12D9" w:rsidSect="00446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99" w:rsidRDefault="00762D99" w:rsidP="00C96F16">
      <w:pPr>
        <w:spacing w:after="0" w:line="240" w:lineRule="auto"/>
      </w:pPr>
      <w:r>
        <w:separator/>
      </w:r>
    </w:p>
  </w:endnote>
  <w:endnote w:type="continuationSeparator" w:id="0">
    <w:p w:rsidR="00762D99" w:rsidRDefault="00762D99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614F41" w:rsidRPr="007A2DC6" w:rsidTr="00D45677">
      <w:trPr>
        <w:trHeight w:val="273"/>
      </w:trPr>
      <w:tc>
        <w:tcPr>
          <w:tcW w:w="4820" w:type="dxa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614F41" w:rsidRPr="007A2DC6" w:rsidTr="00D45677">
      <w:trPr>
        <w:trHeight w:val="382"/>
      </w:trPr>
      <w:tc>
        <w:tcPr>
          <w:tcW w:w="4820" w:type="dxa"/>
          <w:vAlign w:val="center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614F41" w:rsidRPr="007A2DC6" w:rsidTr="00D45677">
      <w:trPr>
        <w:trHeight w:val="382"/>
      </w:trPr>
      <w:tc>
        <w:tcPr>
          <w:tcW w:w="4820" w:type="dxa"/>
          <w:vAlign w:val="center"/>
        </w:tcPr>
        <w:p w:rsidR="00614F41" w:rsidRDefault="00614F41" w:rsidP="00614F41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614F41" w:rsidRPr="007243B0" w:rsidRDefault="00614F41" w:rsidP="00614F41">
          <w:pPr>
            <w:jc w:val="center"/>
            <w:rPr>
              <w:rFonts w:ascii="Comic Sans MS" w:hAnsi="Comic Sans MS" w:cs="Arial"/>
            </w:rPr>
          </w:pPr>
        </w:p>
      </w:tc>
    </w:tr>
  </w:tbl>
  <w:p w:rsidR="00614F41" w:rsidRDefault="00614F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99" w:rsidRDefault="00762D99" w:rsidP="00C96F16">
      <w:pPr>
        <w:spacing w:after="0" w:line="240" w:lineRule="auto"/>
      </w:pPr>
      <w:r>
        <w:separator/>
      </w:r>
    </w:p>
  </w:footnote>
  <w:footnote w:type="continuationSeparator" w:id="0">
    <w:p w:rsidR="00762D99" w:rsidRDefault="00762D99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614F41" w:rsidRPr="00ED6AA7" w:rsidTr="00D45677">
      <w:trPr>
        <w:cantSplit/>
        <w:trHeight w:val="1325"/>
      </w:trPr>
      <w:tc>
        <w:tcPr>
          <w:tcW w:w="2192" w:type="dxa"/>
        </w:tcPr>
        <w:p w:rsidR="00614F41" w:rsidRDefault="00614F41" w:rsidP="00614F41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6B2C6557" wp14:editId="2138B0C5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614F41" w:rsidRPr="00614F41" w:rsidRDefault="00B3208D" w:rsidP="00614F41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/>
              <w:b/>
              <w:bCs/>
              <w:sz w:val="36"/>
              <w:szCs w:val="36"/>
            </w:rPr>
            <w:t xml:space="preserve">ÇEVRENİN KORUNMASI </w:t>
          </w:r>
          <w:r w:rsidR="00614F41" w:rsidRPr="00614F41">
            <w:rPr>
              <w:rFonts w:ascii="Comic Sans MS" w:hAnsi="Comic Sans MS"/>
              <w:b/>
              <w:bCs/>
              <w:sz w:val="36"/>
              <w:szCs w:val="36"/>
            </w:rPr>
            <w:t>VE BİYOLOJİK ÇEŞİTLİLİK GELİŞTİRME POLİTİKASI</w:t>
          </w:r>
        </w:p>
      </w:tc>
      <w:tc>
        <w:tcPr>
          <w:tcW w:w="2693" w:type="dxa"/>
        </w:tcPr>
        <w:p w:rsidR="00614F41" w:rsidRPr="00614F41" w:rsidRDefault="00614F41" w:rsidP="00614F41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614F41">
            <w:rPr>
              <w:rFonts w:ascii="Comic Sans MS" w:hAnsi="Comic Sans MS"/>
              <w:sz w:val="18"/>
              <w:szCs w:val="18"/>
            </w:rPr>
            <w:t>Doküman No: KG-POL-006</w:t>
          </w:r>
        </w:p>
        <w:p w:rsidR="00614F41" w:rsidRPr="00614F41" w:rsidRDefault="00614F41" w:rsidP="00614F41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614F41">
            <w:rPr>
              <w:rFonts w:ascii="Comic Sans MS" w:hAnsi="Comic Sans MS"/>
              <w:sz w:val="18"/>
              <w:szCs w:val="18"/>
            </w:rPr>
            <w:t xml:space="preserve">Yayın Tarihi: </w:t>
          </w:r>
          <w:r w:rsidR="006F1D06">
            <w:rPr>
              <w:rFonts w:ascii="Comic Sans MS" w:hAnsi="Comic Sans MS" w:cs="Estrangelo Edessa"/>
              <w:sz w:val="18"/>
              <w:szCs w:val="18"/>
            </w:rPr>
            <w:t>26.12.2020</w:t>
          </w:r>
        </w:p>
        <w:p w:rsidR="00614F41" w:rsidRPr="00614F41" w:rsidRDefault="00614F41" w:rsidP="00614F41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r w:rsidRPr="00614F41">
            <w:rPr>
              <w:rFonts w:ascii="Comic Sans MS" w:hAnsi="Comic Sans MS"/>
              <w:sz w:val="18"/>
              <w:szCs w:val="18"/>
            </w:rPr>
            <w:t xml:space="preserve">Revizyon Tarihi: </w:t>
          </w:r>
          <w:r>
            <w:rPr>
              <w:rFonts w:ascii="Comic Sans MS" w:hAnsi="Comic Sans MS"/>
              <w:sz w:val="18"/>
              <w:szCs w:val="18"/>
            </w:rPr>
            <w:t>1</w:t>
          </w:r>
          <w:r w:rsidR="005C12D9">
            <w:rPr>
              <w:rFonts w:ascii="Comic Sans MS" w:hAnsi="Comic Sans MS"/>
              <w:sz w:val="18"/>
              <w:szCs w:val="18"/>
            </w:rPr>
            <w:t>0</w:t>
          </w:r>
          <w:r w:rsidR="005C12D9">
            <w:rPr>
              <w:rFonts w:ascii="Comic Sans MS" w:hAnsi="Comic Sans MS" w:cs="Estrangelo Edessa"/>
              <w:sz w:val="18"/>
              <w:szCs w:val="18"/>
            </w:rPr>
            <w:t>.06</w:t>
          </w:r>
          <w:r w:rsidRPr="00614F41">
            <w:rPr>
              <w:rFonts w:ascii="Comic Sans MS" w:hAnsi="Comic Sans MS" w:cs="Estrangelo Edessa"/>
              <w:sz w:val="18"/>
              <w:szCs w:val="18"/>
            </w:rPr>
            <w:t>.2024</w:t>
          </w:r>
        </w:p>
        <w:p w:rsidR="00614F41" w:rsidRPr="00614F41" w:rsidRDefault="006F1D06" w:rsidP="00614F41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Revizyon No: 1</w:t>
          </w:r>
        </w:p>
        <w:p w:rsidR="00614F41" w:rsidRPr="00ED6AA7" w:rsidRDefault="00614F41" w:rsidP="00614F41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614F41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6F1D06">
            <w:rPr>
              <w:rStyle w:val="SayfaNumaras"/>
              <w:rFonts w:ascii="Comic Sans MS" w:hAnsi="Comic Sans MS"/>
              <w:noProof/>
              <w:sz w:val="18"/>
              <w:szCs w:val="18"/>
            </w:rPr>
            <w:t>3</w: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6F1D06">
            <w:rPr>
              <w:rStyle w:val="SayfaNumaras"/>
              <w:rFonts w:ascii="Comic Sans MS" w:hAnsi="Comic Sans MS"/>
              <w:noProof/>
              <w:sz w:val="18"/>
              <w:szCs w:val="18"/>
            </w:rPr>
            <w:t>4</w:t>
          </w:r>
          <w:r w:rsidRPr="00614F41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Pr="00614F41" w:rsidRDefault="00C96F16" w:rsidP="00614F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2DAB"/>
    <w:multiLevelType w:val="multilevel"/>
    <w:tmpl w:val="6856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1A1A"/>
    <w:multiLevelType w:val="multilevel"/>
    <w:tmpl w:val="049C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7687"/>
    <w:multiLevelType w:val="multilevel"/>
    <w:tmpl w:val="E4E0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F7469"/>
    <w:multiLevelType w:val="multilevel"/>
    <w:tmpl w:val="650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71D5B"/>
    <w:multiLevelType w:val="multilevel"/>
    <w:tmpl w:val="B30C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07D7C"/>
    <w:multiLevelType w:val="multilevel"/>
    <w:tmpl w:val="973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157C3"/>
    <w:multiLevelType w:val="multilevel"/>
    <w:tmpl w:val="53FE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31C7C"/>
    <w:multiLevelType w:val="hybridMultilevel"/>
    <w:tmpl w:val="0E4CD1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F629E4"/>
    <w:multiLevelType w:val="multilevel"/>
    <w:tmpl w:val="B40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31C0D"/>
    <w:multiLevelType w:val="multilevel"/>
    <w:tmpl w:val="A07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35846"/>
    <w:multiLevelType w:val="multilevel"/>
    <w:tmpl w:val="7814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63A47"/>
    <w:rsid w:val="0013361F"/>
    <w:rsid w:val="00177680"/>
    <w:rsid w:val="00195E13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53699C"/>
    <w:rsid w:val="005C12D9"/>
    <w:rsid w:val="005D26C8"/>
    <w:rsid w:val="00605862"/>
    <w:rsid w:val="00614F41"/>
    <w:rsid w:val="006F1D06"/>
    <w:rsid w:val="00726909"/>
    <w:rsid w:val="00762D99"/>
    <w:rsid w:val="00796C09"/>
    <w:rsid w:val="008C301E"/>
    <w:rsid w:val="00A6506F"/>
    <w:rsid w:val="00A73C75"/>
    <w:rsid w:val="00A81C18"/>
    <w:rsid w:val="00B3208D"/>
    <w:rsid w:val="00C20C29"/>
    <w:rsid w:val="00C5555A"/>
    <w:rsid w:val="00C75B6B"/>
    <w:rsid w:val="00C96F16"/>
    <w:rsid w:val="00D85BF1"/>
    <w:rsid w:val="00DC51FC"/>
    <w:rsid w:val="00DE2074"/>
    <w:rsid w:val="00E00183"/>
    <w:rsid w:val="00E11367"/>
    <w:rsid w:val="00EB440A"/>
    <w:rsid w:val="00EF5FA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3A47"/>
    <w:rPr>
      <w:b/>
      <w:bCs/>
    </w:rPr>
  </w:style>
  <w:style w:type="character" w:styleId="SayfaNumaras">
    <w:name w:val="page number"/>
    <w:basedOn w:val="VarsaylanParagrafYazTipi"/>
    <w:rsid w:val="00614F41"/>
  </w:style>
  <w:style w:type="paragraph" w:styleId="BalonMetni">
    <w:name w:val="Balloon Text"/>
    <w:basedOn w:val="Normal"/>
    <w:link w:val="BalonMetniChar"/>
    <w:uiPriority w:val="99"/>
    <w:semiHidden/>
    <w:unhideWhenUsed/>
    <w:rsid w:val="00B3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Büşra</cp:lastModifiedBy>
  <cp:revision>6</cp:revision>
  <cp:lastPrinted>2024-07-30T10:17:00Z</cp:lastPrinted>
  <dcterms:created xsi:type="dcterms:W3CDTF">2019-06-21T09:39:00Z</dcterms:created>
  <dcterms:modified xsi:type="dcterms:W3CDTF">2025-07-10T11:53:00Z</dcterms:modified>
</cp:coreProperties>
</file>